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2"/>
        <w:gridCol w:w="9302"/>
      </w:tblGrid>
      <w:tr w:rsidR="00FA3DF0" w14:paraId="7EC4D900" w14:textId="77777777" w:rsidTr="00397417">
        <w:trPr>
          <w:trHeight w:val="835"/>
        </w:trPr>
        <w:tc>
          <w:tcPr>
            <w:tcW w:w="36" w:type="dxa"/>
          </w:tcPr>
          <w:bookmarkStart w:id="0" w:name="_GoBack"/>
          <w:bookmarkEnd w:id="0"/>
          <w:p w14:paraId="406B5F7F" w14:textId="1FF1A90B" w:rsidR="00FA3DF0" w:rsidRDefault="00B80CE2" w:rsidP="0039741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EFD67" wp14:editId="46BA6BD7">
                      <wp:simplePos x="0" y="0"/>
                      <wp:positionH relativeFrom="column">
                        <wp:posOffset>-1074420</wp:posOffset>
                      </wp:positionH>
                      <wp:positionV relativeFrom="paragraph">
                        <wp:posOffset>-55245</wp:posOffset>
                      </wp:positionV>
                      <wp:extent cx="809625" cy="8096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461F2" w14:textId="3E40E1F4" w:rsidR="00B80CE2" w:rsidRDefault="00B80C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4.6pt;margin-top:-4.35pt;width:63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" filled="f" stroked="f">
                      <v:textbox>
                        <w:txbxContent>
                          <w:p w14:paraId="64E461F2" w14:textId="3E40E1F4" w:rsidR="00B80CE2" w:rsidRDefault="00B80C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" w:type="dxa"/>
            <w:vAlign w:val="center"/>
          </w:tcPr>
          <w:p w14:paraId="2207D165" w14:textId="77777777" w:rsidR="00FA3DF0" w:rsidRDefault="00FA3DF0" w:rsidP="00397417"/>
        </w:tc>
        <w:tc>
          <w:tcPr>
            <w:tcW w:w="9302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14:paraId="7386DC54" w14:textId="59D20517" w:rsidR="00FA3DF0" w:rsidRPr="00397417" w:rsidRDefault="00397417" w:rsidP="00397417">
            <w:pPr>
              <w:pStyle w:val="Title"/>
              <w:ind w:left="0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397417">
              <w:rPr>
                <w:rFonts w:ascii="Copperplate Gothic Bold" w:hAnsi="Copperplate Gothic Bold"/>
                <w:sz w:val="28"/>
                <w:szCs w:val="28"/>
              </w:rPr>
              <w:t>O</w:t>
            </w:r>
            <w:r w:rsidR="00B80CE2" w:rsidRPr="00397417">
              <w:rPr>
                <w:rFonts w:ascii="Copperplate Gothic Bold" w:hAnsi="Copperplate Gothic Bold"/>
                <w:sz w:val="28"/>
                <w:szCs w:val="28"/>
              </w:rPr>
              <w:t>FFICE OF BUDGET, CONTRACTS &amp; BUSINESS</w:t>
            </w:r>
            <w:r w:rsidR="11DD751C" w:rsidRPr="00397417">
              <w:rPr>
                <w:rFonts w:ascii="Copperplate Gothic Bold" w:hAnsi="Copperplate Gothic Bold"/>
                <w:sz w:val="28"/>
                <w:szCs w:val="28"/>
              </w:rPr>
              <w:t xml:space="preserve"> SERVICE</w:t>
            </w:r>
            <w:r w:rsidRPr="00397417">
              <w:rPr>
                <w:rFonts w:ascii="Copperplate Gothic Bold" w:hAnsi="Copperplate Gothic Bold"/>
                <w:sz w:val="28"/>
                <w:szCs w:val="28"/>
              </w:rPr>
              <w:t>S DIVISION OF DEVELOPMENTAL DISABILITIES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SERVICES</w:t>
            </w:r>
          </w:p>
          <w:p w14:paraId="79F79F88" w14:textId="04CACF7F" w:rsidR="00397417" w:rsidRPr="00397417" w:rsidRDefault="00397417" w:rsidP="00397417"/>
        </w:tc>
      </w:tr>
    </w:tbl>
    <w:p w14:paraId="42BD2F56" w14:textId="71B9295D" w:rsidR="00B80CE2" w:rsidRDefault="00B80CE2" w:rsidP="11DD751C">
      <w:pPr>
        <w:pStyle w:val="Heading1"/>
        <w:numPr>
          <w:ilvl w:val="0"/>
          <w:numId w:val="0"/>
        </w:numPr>
      </w:pPr>
    </w:p>
    <w:p w14:paraId="3CC60781" w14:textId="7AC4B613" w:rsidR="00FA3DF0" w:rsidRDefault="11DD751C" w:rsidP="00397417">
      <w:pPr>
        <w:pStyle w:val="Heading1"/>
        <w:numPr>
          <w:ilvl w:val="0"/>
          <w:numId w:val="0"/>
        </w:numPr>
        <w:ind w:firstLine="720"/>
        <w:rPr>
          <w:sz w:val="32"/>
          <w:szCs w:val="32"/>
        </w:rPr>
      </w:pPr>
      <w:r>
        <w:t xml:space="preserve"> </w:t>
      </w:r>
      <w:r w:rsidR="00397417">
        <w:t xml:space="preserve">      </w:t>
      </w:r>
      <w:r w:rsidR="00397417">
        <w:rPr>
          <w:noProof/>
          <w:lang w:eastAsia="en-US"/>
        </w:rPr>
        <w:drawing>
          <wp:inline distT="0" distB="0" distL="0" distR="0" wp14:anchorId="3A9C2F3B" wp14:editId="3765BE19">
            <wp:extent cx="514350" cy="455201"/>
            <wp:effectExtent l="0" t="0" r="0" b="254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94" cy="45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417">
        <w:t xml:space="preserve">      </w:t>
      </w:r>
      <w:r w:rsidR="00397417">
        <w:rPr>
          <w:sz w:val="32"/>
          <w:szCs w:val="32"/>
        </w:rPr>
        <w:t xml:space="preserve">OBCBS ALERT </w:t>
      </w:r>
      <w:r w:rsidRPr="00397417">
        <w:rPr>
          <w:sz w:val="32"/>
          <w:szCs w:val="32"/>
        </w:rPr>
        <w:t>16-0</w:t>
      </w:r>
      <w:r w:rsidR="000A2196">
        <w:rPr>
          <w:sz w:val="32"/>
          <w:szCs w:val="32"/>
        </w:rPr>
        <w:t>2</w:t>
      </w:r>
    </w:p>
    <w:p w14:paraId="3CF8BA8C" w14:textId="472878B1" w:rsidR="00397417" w:rsidRPr="00397417" w:rsidRDefault="00397417" w:rsidP="00397417">
      <w:r>
        <w:tab/>
      </w:r>
      <w:r>
        <w:tab/>
      </w:r>
      <w:r>
        <w:tab/>
      </w:r>
      <w:r>
        <w:tab/>
      </w:r>
    </w:p>
    <w:tbl>
      <w:tblPr>
        <w:tblW w:w="9000" w:type="dxa"/>
        <w:tblInd w:w="81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68"/>
        <w:gridCol w:w="8532"/>
      </w:tblGrid>
      <w:tr w:rsidR="00FA3DF0" w14:paraId="42C57A49" w14:textId="77777777" w:rsidTr="00397417">
        <w:trPr>
          <w:trHeight w:val="120"/>
        </w:trPr>
        <w:tc>
          <w:tcPr>
            <w:tcW w:w="260" w:type="pct"/>
            <w:tcBorders>
              <w:top w:val="thickThinLargeGap" w:sz="24" w:space="0" w:color="auto"/>
            </w:tcBorders>
          </w:tcPr>
          <w:p w14:paraId="7D790B8E" w14:textId="188B1728" w:rsidR="00FA3DF0" w:rsidRDefault="00E10FC8" w:rsidP="00397417">
            <w:pPr>
              <w:pStyle w:val="-"/>
              <w:ind w:left="-180"/>
            </w:pPr>
            <w:r>
              <w:t>+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14:paraId="2B042A28" w14:textId="31B73ED8" w:rsidR="00FA3DF0" w:rsidRDefault="00397417">
            <w:pPr>
              <w:pStyle w:val="List"/>
              <w:rPr>
                <w:sz w:val="28"/>
                <w:szCs w:val="28"/>
              </w:rPr>
            </w:pPr>
            <w:r w:rsidRPr="00397417">
              <w:rPr>
                <w:sz w:val="28"/>
                <w:szCs w:val="28"/>
              </w:rPr>
              <w:t>REVISED INVOICE TEMPLATES FOR DIRECT BILLING TO DDDS</w:t>
            </w:r>
          </w:p>
          <w:p w14:paraId="7386E923" w14:textId="20CC7341" w:rsidR="00397417" w:rsidRPr="00397417" w:rsidRDefault="00397417">
            <w:pPr>
              <w:pStyle w:val="List"/>
              <w:rPr>
                <w:sz w:val="28"/>
                <w:szCs w:val="28"/>
              </w:rPr>
            </w:pPr>
          </w:p>
        </w:tc>
      </w:tr>
      <w:tr w:rsidR="00FA3DF0" w14:paraId="0F1EC305" w14:textId="77777777" w:rsidTr="00397417">
        <w:tc>
          <w:tcPr>
            <w:tcW w:w="260" w:type="pct"/>
          </w:tcPr>
          <w:p w14:paraId="6CEBFA5C" w14:textId="50F20624" w:rsidR="00FA3DF0" w:rsidRDefault="00FA3DF0" w:rsidP="00397417">
            <w:pPr>
              <w:pStyle w:val="-"/>
              <w:ind w:left="-180"/>
            </w:pPr>
          </w:p>
        </w:tc>
        <w:tc>
          <w:tcPr>
            <w:tcW w:w="4740" w:type="pct"/>
          </w:tcPr>
          <w:p w14:paraId="0C6879EA" w14:textId="77777777" w:rsidR="0055081E" w:rsidRDefault="0055081E">
            <w:pPr>
              <w:pStyle w:val="Li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Submission of invoices</w:t>
            </w:r>
            <w:r w:rsidR="00397417" w:rsidRPr="00397417">
              <w:rPr>
                <w:sz w:val="22"/>
                <w:szCs w:val="22"/>
              </w:rPr>
              <w:t xml:space="preserve"> to DDDS for clinical, day and residential services</w:t>
            </w:r>
            <w:r>
              <w:rPr>
                <w:sz w:val="22"/>
                <w:szCs w:val="22"/>
              </w:rPr>
              <w:t xml:space="preserve"> will now require using the </w:t>
            </w:r>
            <w:r w:rsidRPr="00397417">
              <w:rPr>
                <w:sz w:val="22"/>
                <w:szCs w:val="22"/>
              </w:rPr>
              <w:t>following</w:t>
            </w:r>
            <w:r w:rsidR="00397417" w:rsidRPr="00397417">
              <w:rPr>
                <w:sz w:val="22"/>
                <w:szCs w:val="22"/>
              </w:rPr>
              <w:t xml:space="preserve"> invoice templates</w:t>
            </w:r>
            <w:r>
              <w:rPr>
                <w:sz w:val="22"/>
                <w:szCs w:val="22"/>
              </w:rPr>
              <w:t xml:space="preserve"> attached. </w:t>
            </w:r>
            <w:r w:rsidR="00397417" w:rsidRPr="00397417">
              <w:rPr>
                <w:sz w:val="22"/>
                <w:szCs w:val="22"/>
              </w:rPr>
              <w:t xml:space="preserve"> </w:t>
            </w:r>
          </w:p>
          <w:p w14:paraId="2027C996" w14:textId="77777777" w:rsidR="0055081E" w:rsidRDefault="0055081E">
            <w:pPr>
              <w:pStyle w:val="List"/>
              <w:rPr>
                <w:sz w:val="22"/>
                <w:szCs w:val="22"/>
              </w:rPr>
            </w:pPr>
          </w:p>
          <w:p w14:paraId="14E885F5" w14:textId="02D428A4" w:rsidR="00397417" w:rsidRDefault="00397417">
            <w:pPr>
              <w:pStyle w:val="Li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October 1, 2015 </w:t>
            </w:r>
            <w:r w:rsidR="0055081E">
              <w:rPr>
                <w:sz w:val="22"/>
                <w:szCs w:val="22"/>
              </w:rPr>
              <w:t xml:space="preserve">to simplify this process, </w:t>
            </w:r>
            <w:r>
              <w:rPr>
                <w:sz w:val="22"/>
                <w:szCs w:val="22"/>
              </w:rPr>
              <w:t>it is no longer necessary to list all consumers served.  Only those consumers where DDDS is the identified funding source should be listed.</w:t>
            </w:r>
          </w:p>
          <w:p w14:paraId="37F666D7" w14:textId="77777777" w:rsidR="0055081E" w:rsidRDefault="0055081E">
            <w:pPr>
              <w:pStyle w:val="List"/>
              <w:rPr>
                <w:sz w:val="22"/>
                <w:szCs w:val="22"/>
              </w:rPr>
            </w:pPr>
          </w:p>
          <w:p w14:paraId="536D2AB6" w14:textId="4961CFF6" w:rsidR="00397417" w:rsidRDefault="00397417">
            <w:pPr>
              <w:pStyle w:val="Li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Templates can be modified to add additional rows if needed but we ask that the basic format not be altered.</w:t>
            </w:r>
            <w:r w:rsidR="0055081E">
              <w:rPr>
                <w:sz w:val="22"/>
                <w:szCs w:val="22"/>
              </w:rPr>
              <w:t xml:space="preserve">  </w:t>
            </w:r>
          </w:p>
          <w:p w14:paraId="25394532" w14:textId="78768D9F" w:rsidR="00397417" w:rsidRDefault="00397417">
            <w:pPr>
              <w:pStyle w:val="Li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Residential Invoices must be accompanied with a monthly fleet report, provider census report and have utilization finalized</w:t>
            </w:r>
            <w:r w:rsidR="0055081E">
              <w:rPr>
                <w:sz w:val="22"/>
                <w:szCs w:val="22"/>
              </w:rPr>
              <w:t xml:space="preserve"> in Therap</w:t>
            </w:r>
            <w:r>
              <w:rPr>
                <w:sz w:val="22"/>
                <w:szCs w:val="22"/>
              </w:rPr>
              <w:t xml:space="preserve"> before DDDS will issue a payment to a provider.</w:t>
            </w:r>
          </w:p>
          <w:p w14:paraId="4873FD17" w14:textId="77777777" w:rsidR="0055081E" w:rsidRDefault="0055081E">
            <w:pPr>
              <w:pStyle w:val="List"/>
              <w:rPr>
                <w:sz w:val="22"/>
                <w:szCs w:val="22"/>
              </w:rPr>
            </w:pPr>
          </w:p>
          <w:p w14:paraId="7AC6E075" w14:textId="77E88A97" w:rsidR="00397417" w:rsidRPr="00397417" w:rsidRDefault="00397417" w:rsidP="0055081E">
            <w:pPr>
              <w:pStyle w:val="Li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 Service Invoices must be accompanied with manual utilization reporting spreadsheets when utilization is not reported in </w:t>
            </w:r>
            <w:r w:rsidR="0055081E">
              <w:rPr>
                <w:sz w:val="22"/>
                <w:szCs w:val="22"/>
              </w:rPr>
              <w:t>Therap before</w:t>
            </w:r>
            <w:r>
              <w:rPr>
                <w:sz w:val="22"/>
                <w:szCs w:val="22"/>
              </w:rPr>
              <w:t xml:space="preserve"> DDDS will issue a payment to a provider.  </w:t>
            </w:r>
            <w:r w:rsidR="0055081E">
              <w:rPr>
                <w:sz w:val="22"/>
                <w:szCs w:val="22"/>
              </w:rPr>
              <w:t>If a specific day service is not provided, that section of the invoice template may be deleted.</w:t>
            </w:r>
          </w:p>
        </w:tc>
      </w:tr>
    </w:tbl>
    <w:p w14:paraId="62CD70BB" w14:textId="212067CE" w:rsidR="00FA3DF0" w:rsidRDefault="00FA3DF0"/>
    <w:sectPr w:rsidR="00FA3DF0" w:rsidSect="00B80CE2">
      <w:footerReference w:type="default" r:id="rId9"/>
      <w:pgSz w:w="12240" w:h="15840"/>
      <w:pgMar w:top="1080" w:right="36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F7DD" w14:textId="77777777" w:rsidR="00FA3DF0" w:rsidRDefault="00E10FC8">
      <w:pPr>
        <w:spacing w:before="0"/>
      </w:pPr>
      <w:r>
        <w:separator/>
      </w:r>
    </w:p>
  </w:endnote>
  <w:endnote w:type="continuationSeparator" w:id="0">
    <w:p w14:paraId="1CA8375E" w14:textId="77777777" w:rsidR="00FA3DF0" w:rsidRDefault="00E10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A49D" w14:textId="77777777" w:rsidR="00FA3DF0" w:rsidRDefault="00E10FC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AB25" w14:textId="77777777" w:rsidR="00FA3DF0" w:rsidRDefault="00E10FC8">
      <w:pPr>
        <w:spacing w:before="0"/>
      </w:pPr>
      <w:r>
        <w:separator/>
      </w:r>
    </w:p>
  </w:footnote>
  <w:footnote w:type="continuationSeparator" w:id="0">
    <w:p w14:paraId="1C095938" w14:textId="77777777" w:rsidR="00FA3DF0" w:rsidRDefault="00E10F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8D8EFBD0"/>
    <w:lvl w:ilvl="0" w:tplc="09B26D7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751C"/>
    <w:rsid w:val="000A2196"/>
    <w:rsid w:val="00397417"/>
    <w:rsid w:val="0055081E"/>
    <w:rsid w:val="006D65EC"/>
    <w:rsid w:val="00B80CE2"/>
    <w:rsid w:val="00DA39B3"/>
    <w:rsid w:val="00E10FC8"/>
    <w:rsid w:val="00FA3DF0"/>
    <w:rsid w:val="11DD751C"/>
    <w:rsid w:val="321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AD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nicole.johnson</dc:creator>
  <cp:lastModifiedBy>robert.paxson</cp:lastModifiedBy>
  <cp:revision>2</cp:revision>
  <cp:lastPrinted>2015-08-21T17:43:00Z</cp:lastPrinted>
  <dcterms:created xsi:type="dcterms:W3CDTF">2015-10-08T14:22:00Z</dcterms:created>
  <dcterms:modified xsi:type="dcterms:W3CDTF">2015-10-08T14:22:00Z</dcterms:modified>
</cp:coreProperties>
</file>